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黑体"/>
          <w:snapToGrid w:val="0"/>
          <w:sz w:val="32"/>
          <w:szCs w:val="32"/>
          <w:lang w:eastAsia="zh-CN"/>
        </w:rPr>
      </w:pPr>
      <w:r>
        <w:rPr>
          <w:rFonts w:ascii="黑体" w:hAnsi="黑体" w:eastAsia="黑体"/>
          <w:snapToGrid w:val="0"/>
          <w:kern w:val="32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kern w:val="3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hAnsi="Times New Roman" w:eastAsia="方正小标宋_GBK"/>
          <w:snapToGrid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napToGrid w:val="0"/>
          <w:sz w:val="44"/>
          <w:szCs w:val="44"/>
        </w:rPr>
        <w:t>高新技术企业培育入库企业基本信息表</w:t>
      </w:r>
    </w:p>
    <w:bookmarkEnd w:id="0"/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tbl>
      <w:tblPr>
        <w:tblStyle w:val="3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28"/>
        <w:gridCol w:w="1472"/>
        <w:gridCol w:w="990"/>
        <w:gridCol w:w="917"/>
        <w:gridCol w:w="598"/>
        <w:gridCol w:w="819"/>
        <w:gridCol w:w="1781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企业名称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所在地市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高新区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人力资源情况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职工总数（人）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科技人员数（人）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  <w:t>科技人员占比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企业经营状况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（万元）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年度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净资产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2021年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2020年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2019年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企业目前的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知识产权情况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I类知识产权总数（件）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II类知识产权总数（件）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（请填报未在申请高企时使用过的II类知识产权）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企业研发活动</w:t>
            </w: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近3年研发费用总额（万元）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3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</w:p>
        </w:tc>
        <w:tc>
          <w:tcPr>
            <w:tcW w:w="4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近3年研究开发费用总额占销售收入总额的比例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snapToGrid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预计申报高新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snapToGrid w:val="0"/>
                <w:sz w:val="28"/>
                <w:szCs w:val="28"/>
              </w:rPr>
              <w:t>技术企业批次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 xml:space="preserve">第一批  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 xml:space="preserve">第二批  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 xml:space="preserve">第三批  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未定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z w:val="28"/>
                <w:szCs w:val="28"/>
              </w:rPr>
              <w:t>2022年开展三批高新技术企业认定申报，预计第一批申报时间为6月，第二批7月，第三批9月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E3E18"/>
    <w:rsid w:val="19BE3E18"/>
    <w:rsid w:val="773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李峰</dc:creator>
  <cp:lastModifiedBy>李峰</cp:lastModifiedBy>
  <dcterms:modified xsi:type="dcterms:W3CDTF">2022-03-11T02:59:43Z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